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33D" w:rsidRPr="004009D0" w:rsidRDefault="003E333D" w:rsidP="003E333D">
      <w:pPr>
        <w:rPr>
          <w:rFonts w:cs="Arial"/>
          <w:b/>
          <w:sz w:val="40"/>
          <w:szCs w:val="40"/>
        </w:rPr>
      </w:pPr>
    </w:p>
    <w:p w:rsidR="003E333D" w:rsidRPr="004009D0" w:rsidRDefault="003E333D" w:rsidP="003E333D">
      <w:pPr>
        <w:rPr>
          <w:rFonts w:cs="Arial"/>
          <w:b/>
          <w:sz w:val="40"/>
          <w:szCs w:val="40"/>
        </w:rPr>
      </w:pPr>
    </w:p>
    <w:p w:rsidR="003E333D" w:rsidRPr="004009D0" w:rsidRDefault="003E333D" w:rsidP="003E333D">
      <w:pPr>
        <w:rPr>
          <w:rFonts w:cs="Arial"/>
          <w:b/>
          <w:sz w:val="40"/>
          <w:szCs w:val="40"/>
        </w:rPr>
      </w:pPr>
    </w:p>
    <w:p w:rsidR="003E333D" w:rsidRPr="004009D0" w:rsidRDefault="003E333D" w:rsidP="003E333D">
      <w:pPr>
        <w:rPr>
          <w:rFonts w:cs="Arial"/>
          <w:b/>
          <w:sz w:val="40"/>
          <w:szCs w:val="40"/>
        </w:rPr>
      </w:pPr>
    </w:p>
    <w:p w:rsidR="003E333D" w:rsidRPr="004009D0" w:rsidRDefault="003E333D" w:rsidP="003E333D">
      <w:pPr>
        <w:rPr>
          <w:rFonts w:cs="Arial"/>
          <w:b/>
          <w:sz w:val="40"/>
          <w:szCs w:val="40"/>
        </w:rPr>
      </w:pPr>
    </w:p>
    <w:p w:rsidR="003E333D" w:rsidRPr="004009D0" w:rsidRDefault="003E333D" w:rsidP="003E333D">
      <w:pPr>
        <w:jc w:val="center"/>
        <w:rPr>
          <w:rFonts w:cs="Arial"/>
          <w:b/>
          <w:sz w:val="40"/>
          <w:szCs w:val="40"/>
        </w:rPr>
      </w:pPr>
      <w:bookmarkStart w:id="0" w:name="_GoBack"/>
      <w:bookmarkEnd w:id="0"/>
      <w:r w:rsidRPr="004009D0">
        <w:rPr>
          <w:rFonts w:cs="Arial"/>
          <w:b/>
          <w:sz w:val="40"/>
          <w:szCs w:val="40"/>
        </w:rPr>
        <w:t>Vyhodnocení SWOT analýzy VŠ zapojených do projektu KREDO</w:t>
      </w: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jc w:val="center"/>
        <w:rPr>
          <w:rFonts w:cs="Arial"/>
          <w:b/>
          <w:sz w:val="28"/>
          <w:szCs w:val="28"/>
        </w:rPr>
      </w:pPr>
      <w:r w:rsidRPr="004009D0">
        <w:rPr>
          <w:rFonts w:cs="Arial"/>
          <w:b/>
          <w:sz w:val="28"/>
          <w:szCs w:val="28"/>
        </w:rPr>
        <w:t>Část 1:</w:t>
      </w:r>
    </w:p>
    <w:p w:rsidR="003E333D" w:rsidRPr="004009D0" w:rsidRDefault="003E333D" w:rsidP="003E333D">
      <w:pPr>
        <w:ind w:left="993" w:hanging="993"/>
        <w:jc w:val="center"/>
        <w:rPr>
          <w:rFonts w:cs="Arial"/>
          <w:b/>
          <w:sz w:val="28"/>
          <w:szCs w:val="28"/>
        </w:rPr>
      </w:pPr>
      <w:r w:rsidRPr="004009D0">
        <w:rPr>
          <w:rFonts w:cs="Arial"/>
          <w:b/>
          <w:sz w:val="28"/>
          <w:szCs w:val="28"/>
        </w:rPr>
        <w:t>Analýza vzdělávací oblasti, oblasti tvůrčích aktivit a financování pro veřejné a státní vysoké školy</w:t>
      </w:r>
    </w:p>
    <w:p w:rsidR="003E333D" w:rsidRPr="004009D0" w:rsidRDefault="003E333D" w:rsidP="003E333D">
      <w:pPr>
        <w:ind w:left="993" w:hanging="993"/>
        <w:jc w:val="center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</w:p>
    <w:p w:rsidR="003E333D" w:rsidRPr="004009D0" w:rsidRDefault="003E333D" w:rsidP="003E333D">
      <w:pPr>
        <w:ind w:left="993" w:hanging="993"/>
        <w:rPr>
          <w:rFonts w:cs="Arial"/>
          <w:b/>
          <w:sz w:val="28"/>
          <w:szCs w:val="28"/>
        </w:rPr>
      </w:pPr>
      <w:r w:rsidRPr="004009D0">
        <w:rPr>
          <w:rFonts w:cs="Arial"/>
          <w:b/>
          <w:sz w:val="28"/>
          <w:szCs w:val="28"/>
        </w:rPr>
        <w:t>Praha, duben 2014</w:t>
      </w:r>
      <w:r w:rsidRPr="004009D0">
        <w:rPr>
          <w:rFonts w:cs="Arial"/>
          <w:b/>
          <w:sz w:val="28"/>
          <w:szCs w:val="28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1. Nabídka studijních programů/oborů (reflexe potřeb společnosti)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(28%)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Tradice a kvalita vysoké školy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Trvalý zájem o studium – převis poptávky nad nabídkou, možnost si vybírat z uchazečů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Široká nabídka studijních oborů prezenční i v kombinované formě studia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Nabídka programů celoživotního vzdělávání, nabídka certifikovaných kurzů a modulů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Studijní programy akreditované v cizích jazycích ve všech stupních studia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Nabídka akreditovaných atraktivních interdisciplinárních oborů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Unikátnost řady akreditovaných oborů v rámci ČR, reflektování potřeb regionu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Dobrá informovanost veřejnosti o jednotlivých oborech a podmínkách pro přijímací řízení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Horizontální i vertikální prostupnost – nabídka pro studenty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Strukturovaná forma studia kompatibilní se studijními programy obdobných škol v ČR a v zemích EU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(22%)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Nabídka SP/SO i CŽV neodpovídá potřebám společenské praxe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Příliš teoreticky zaměřená výuka, malá spolupráce s praxí, malá nabídka profesních oborů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Duplicita některých oborů, velké množství předmětů na fakultách, fragmentace oborů, vzájemná konkurence fakult, nejednotná koncepce v rámci univerzity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Neochota mezifakultní spolupráce např. při tvorbě celouniverzitních SP, převládání partikulárních zájmů fakult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Nízká uplatnitelnost absolventů některých studijních programů, slabá zpětná vazba od aplikační sféry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Nízký počet samoplátců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Slabá úroveň propagace SP/SO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Nedostatečná nabídka programů a oborů akreditovaných v cizích jazycích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Nízká úroveň vědomostí uchazečů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Nepříznivá věková struktura, nedostatek perspektivních pracovníků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(25%)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Podpora vzdělávání formou CŽV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Zájem zahraničních studentů, mezinárodní spolupráce ve výuce, joint-</w:t>
      </w:r>
      <w:proofErr w:type="spellStart"/>
      <w:r w:rsidRPr="004009D0">
        <w:rPr>
          <w:rFonts w:cs="Arial"/>
          <w:sz w:val="20"/>
          <w:szCs w:val="20"/>
        </w:rPr>
        <w:t>degree</w:t>
      </w:r>
      <w:proofErr w:type="spellEnd"/>
      <w:r w:rsidRPr="004009D0">
        <w:rPr>
          <w:rFonts w:cs="Arial"/>
          <w:sz w:val="20"/>
          <w:szCs w:val="20"/>
        </w:rPr>
        <w:t>, double-</w:t>
      </w:r>
      <w:proofErr w:type="spellStart"/>
      <w:r w:rsidRPr="004009D0">
        <w:rPr>
          <w:rFonts w:cs="Arial"/>
          <w:sz w:val="20"/>
          <w:szCs w:val="20"/>
        </w:rPr>
        <w:t>degree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Lepší materiálové a technické vybavení, lepší prostory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Prohloubení spolupráce s praxí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Posilování regionálního významu univerzity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Snížení počtu SVŠ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s aplikační sférou, zapojení odborníků z praxe, udržování kontaktu s absolventy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Využití OP a evropských grantů na podporu vzdělávání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Zúžit množství oborů a zaměřit se na potřebné, zavést mezioborovou výuku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(24%)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Demografická křivka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Zhoršující se kvalita uchazečů o studium, úbytek talentovaných studentů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Vysoká koncentrace VŠ v ČR, vzájemná konkurence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Nekalá konkurence VŠ s nižší kvalitou, vykrádání oborů a předmětů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Klesající zájem o technické obory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Neexistence uceleného systému sběru, vyhodnocování a zprostředkování informací o vývoji potřeb trhu práce, nedostatečná spolupráce s úřady práce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Špatná komunikace v rámci profesní komunity při přípravě nových studijních oborů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Podfinancování VŠ studia, nestabilní systém financování, nejistota v legislativě (novela VŠZ)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Měnící se kritéria AK při posuzování žádostí o akreditace, akreditace konkurenčního studia s nižšími nároky na studium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Nestabilní a nevyjasněná politika státu v oblasti školství</w:t>
      </w:r>
      <w:r w:rsidRPr="004009D0">
        <w:rPr>
          <w:rFonts w:cs="Arial"/>
          <w:sz w:val="20"/>
          <w:szCs w:val="20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2. Zajištění kvalitní vzdělávací činnosti (způsob a forma realizace)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(35%)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odborníků z praxe do pedagogického procesu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Nabídka odborných stáží, praxí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Fungující kreditový systém kompatibilní s ECTS/DS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Kvalita akademických pracovníků, vysoký podíl profesorů a docentů ve výuce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Moderní metody vzdělávání – e-</w:t>
      </w:r>
      <w:proofErr w:type="spellStart"/>
      <w:r w:rsidRPr="004009D0">
        <w:rPr>
          <w:rFonts w:cs="Arial"/>
          <w:sz w:val="20"/>
          <w:szCs w:val="20"/>
        </w:rPr>
        <w:t>learning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Pravidelné studentské hodnocení výuky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Kvalitní materiální a technické zajištění výuky, dostupnost informačních zdrojů pro výuku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Kontrola kvality vzdělávání – vnitřní, vnější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Mobilita studentů a akademických pracovníků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Individuální přístup ke studentům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Průběžná inovace výuky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(25%)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Nedostatky v personálním zabezpečení studia - vysoký relativní podíl akademických pracovníků s částečným úvazkem, vysoký počet externích pedagogů, vysoký věk pedagogů, málo zahraničních pedagogů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Nedostatečná jazyková vybavenost pedagogů a studentů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Chybějící propojení teorie s praxí, malá kapacita studentských praxí, nízké zapojení odborníků z praxe ve výuce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Neexistující systém pedagogického vzdělávání akademických pracovníků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Nedostatečné prostorové, materiální a technické zajištění výuky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Nedostatečný systém motivace akademických pracovníků, zejména mladších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Slabá nebo neexistující vazba mezi hodnocením výuky a hodnocením celkového pracovního výkonu akademických pracovníků, chybí propracovaný a fungující systém kontroly a zlepšování kvality vzdělávací činnosti.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(21%)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Spolupráce s praxí, stáže akademických pracovníků v podnicích, zapojení odborníků z praxe, povinná praxe pro studenty, spolupráce s profesními asociacemi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Využití OP, programového financování a dalších grantových prostředků pro dofinancování vzdělávacích aktivit (zaplacení zahraničních pedagogů) a vylepšení vzdělávací infrastruktury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Zvyšování kvalifikace akademických pracovníků, např. v rámci CŽV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Mezinárodní standardizace vzdělávací soustavy ČR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Zapojování zahraničních odborníků do výuky, podpora pedagogické mobility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VŠ navzájem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(19%)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Pokles zájmu o studium a o vědění obecně, pokles kvality populace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Snižování příspěvků na vzdělávání, podfinancování VŠ, pokles normativu na studenta, nestabilita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Odchod kvalitních akademických pracovníků z VVŠ na lépe finančně ohodnocená místa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Omezené možnosti pražských VŠ čerpat z </w:t>
      </w:r>
      <w:proofErr w:type="gramStart"/>
      <w:r w:rsidRPr="004009D0">
        <w:rPr>
          <w:rFonts w:cs="Arial"/>
          <w:sz w:val="20"/>
          <w:szCs w:val="20"/>
        </w:rPr>
        <w:t>OP</w:t>
      </w:r>
      <w:proofErr w:type="gramEnd"/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Špatně nastavený akreditační proces, zdlouhavý proces akreditace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Preference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výsledků v porovnání se vzděláváním při hodnocení VŠ,</w:t>
      </w:r>
      <w:r w:rsidRPr="004009D0">
        <w:rPr>
          <w:rFonts w:cs="Arial"/>
          <w:b/>
          <w:sz w:val="20"/>
          <w:szCs w:val="20"/>
        </w:rPr>
        <w:t xml:space="preserve"> </w:t>
      </w:r>
      <w:r w:rsidRPr="004009D0">
        <w:rPr>
          <w:rFonts w:cs="Arial"/>
          <w:sz w:val="20"/>
          <w:szCs w:val="20"/>
        </w:rPr>
        <w:t>převažující kvantitativní hlediska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Nevhodnost strukturovaného studia 3+2 pro řadu oborů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Přebujelá administrativa</w:t>
      </w:r>
    </w:p>
    <w:p w:rsidR="003E333D" w:rsidRPr="004009D0" w:rsidRDefault="003E333D" w:rsidP="003E333D">
      <w:pPr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3. Uplatnitelnost absolventů na trhu práce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(30%)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Stále dobrá uplatnitelnost absolventů většiny VŠ oborů na trhu práce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Kvalita a renomé univerzity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Sledování situace na trhu práce, spolupráce s regionálními pobočkami pracovního úřadu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Pořádání akcí zaměřených na spolupráci s potencionálními zaměstnavateli, organizace veletrhů pracovních příležitostí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studentů do praxe zvyšuje uplatnitelnost na trhu práce, spolupráce s firmami na kvalifikačních pracích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Jazyková vybavenost absolventů, soft-</w:t>
      </w:r>
      <w:proofErr w:type="spellStart"/>
      <w:r w:rsidRPr="004009D0">
        <w:rPr>
          <w:rFonts w:cs="Arial"/>
          <w:sz w:val="20"/>
          <w:szCs w:val="20"/>
        </w:rPr>
        <w:t>skils</w:t>
      </w:r>
      <w:proofErr w:type="spellEnd"/>
      <w:r w:rsidRPr="004009D0">
        <w:rPr>
          <w:rFonts w:cs="Arial"/>
          <w:sz w:val="20"/>
          <w:szCs w:val="20"/>
        </w:rPr>
        <w:t xml:space="preserve"> – u některých oborů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Reflexe SP/SO na požadavky zaměstnavatelů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(21%)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Mnoho </w:t>
      </w:r>
      <w:proofErr w:type="gramStart"/>
      <w:r w:rsidRPr="004009D0">
        <w:rPr>
          <w:rFonts w:cs="Arial"/>
          <w:sz w:val="20"/>
          <w:szCs w:val="20"/>
        </w:rPr>
        <w:t>oborů s atraktivních názvem</w:t>
      </w:r>
      <w:proofErr w:type="gramEnd"/>
      <w:r w:rsidRPr="004009D0">
        <w:rPr>
          <w:rFonts w:cs="Arial"/>
          <w:sz w:val="20"/>
          <w:szCs w:val="20"/>
        </w:rPr>
        <w:t>, ale s nízkou uplatnitelností, nerovnoměrná uplatnitelnost absolventů z jednotlivých fakult, předimenzování některých oborů, horší uplatnitelnost bakalářů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Jazykové a prezentační dovednosti absolventů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Nedostatek praktických zkušeností absolventů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Uplatnění v jiném oboru než oboru studia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Absence systematické zpětné vazby od absolventů a jejich zaměstnavatelů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Nedostatečná činnost absolventských organizací (</w:t>
      </w:r>
      <w:proofErr w:type="spellStart"/>
      <w:r w:rsidRPr="004009D0">
        <w:rPr>
          <w:rFonts w:cs="Arial"/>
          <w:sz w:val="20"/>
          <w:szCs w:val="20"/>
        </w:rPr>
        <w:t>alumni</w:t>
      </w:r>
      <w:proofErr w:type="spellEnd"/>
      <w:r w:rsidRPr="004009D0">
        <w:rPr>
          <w:rFonts w:cs="Arial"/>
          <w:sz w:val="20"/>
          <w:szCs w:val="20"/>
        </w:rPr>
        <w:t xml:space="preserve"> klubů), ztráta kontaktu s absolventy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Nízká úroveň měkkých dovedností, zejména u studentů technických oborů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(25%)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Tvorba studijních programů v závislosti na potřebách trhu práce, zapojení odborníků z praxe do výuky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Vyšší míra komunikace s hlavními zaměstnavateli absolventů, znalost podmínek a situace u profesních organizací, rozšíření spolupráce s krajem/regionem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Možnosti uplatnění absolventů v zahraničí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Propagace nabídky absolventů VŠ přes průmyslové svazy a webové portály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Celoživotní vzdělávání absolventů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Zvyšování atraktivity studia prostřednictvím zviditelnění úspěšných absolventů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Praktikantské pozice, stáže u firem, podniková stipendia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Výuka a trénink měkkých dovedností, zvyšování jazykových znalostí absolventů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Rozvoj poradenství pro studenty/absolventy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(24%)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Permanentní změna oborové poptávky na trhu práce - možný nezájem o některé profese budoucnosti, útlum některých odvětví průmyslu, neexistence informovanosti o vývoji potřeb na trhu práce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Nárůst nezaměstnanosti absolventů vysokých škol – nasycení trhu práce především v regionech, stoupající počet absolventů VŠ (devalvace vysokoškolského titulu), konkurence mezi absolventy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Nezájem o absolventy bakalářských studijních programů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Nezájem komerční sféry o spolupráci s univerzitou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Potenciální konkurence absolventů škol ze zemí EU s velkou nezaměstnaností mladých lidí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Neochota absolventů stěhovat se za prací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Obtížné uplatnění absolventů bez praxe na trhu práce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proofErr w:type="spellStart"/>
      <w:r w:rsidRPr="004009D0">
        <w:rPr>
          <w:rFonts w:cs="Arial"/>
          <w:sz w:val="20"/>
          <w:szCs w:val="20"/>
        </w:rPr>
        <w:t>Překvalifikovanost</w:t>
      </w:r>
      <w:proofErr w:type="spellEnd"/>
      <w:r w:rsidRPr="004009D0">
        <w:rPr>
          <w:rFonts w:cs="Arial"/>
          <w:sz w:val="20"/>
          <w:szCs w:val="20"/>
        </w:rPr>
        <w:t xml:space="preserve"> zájemců o práci (především doktorandů)</w:t>
      </w:r>
    </w:p>
    <w:p w:rsidR="003E333D" w:rsidRPr="004009D0" w:rsidRDefault="003E333D" w:rsidP="003E333D">
      <w:pPr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 xml:space="preserve">4. Zajištění kvality </w:t>
      </w:r>
      <w:proofErr w:type="spellStart"/>
      <w:r w:rsidRPr="004009D0">
        <w:rPr>
          <w:rFonts w:cs="Arial"/>
          <w:b/>
          <w:sz w:val="26"/>
          <w:szCs w:val="26"/>
        </w:rPr>
        <w:t>VaV</w:t>
      </w:r>
      <w:proofErr w:type="spellEnd"/>
      <w:r w:rsidRPr="004009D0">
        <w:rPr>
          <w:rFonts w:cs="Arial"/>
          <w:b/>
          <w:sz w:val="26"/>
          <w:szCs w:val="26"/>
        </w:rPr>
        <w:t xml:space="preserve"> a tvůrčích aktivit v tuzemském i mezinárodním měřítku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(28%)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Motivační systém podpory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aktivit – finanční ohodnocení nejlepších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Kvalitní výzkumné týmy, dlouhodobá tradice ve vědecko-výzkumné činnosti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Kvalitní laboratorní a přístrojové zázemí srovnatelné se zahraničními univerzitami 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pracovišti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Vybudovaní konkurenceschopné výzkumné infrastruktury z </w:t>
      </w:r>
      <w:proofErr w:type="gramStart"/>
      <w:r w:rsidRPr="004009D0">
        <w:rPr>
          <w:rFonts w:cs="Arial"/>
          <w:sz w:val="20"/>
          <w:szCs w:val="20"/>
        </w:rPr>
        <w:t>OP</w:t>
      </w:r>
      <w:proofErr w:type="gramEnd"/>
      <w:r w:rsidRPr="004009D0">
        <w:rPr>
          <w:rFonts w:cs="Arial"/>
          <w:sz w:val="20"/>
          <w:szCs w:val="20"/>
        </w:rPr>
        <w:t xml:space="preserve"> </w:t>
      </w:r>
      <w:proofErr w:type="spellStart"/>
      <w:r w:rsidRPr="004009D0">
        <w:rPr>
          <w:rFonts w:cs="Arial"/>
          <w:sz w:val="20"/>
          <w:szCs w:val="20"/>
        </w:rPr>
        <w:t>VaVpI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Průhledné (</w:t>
      </w:r>
      <w:proofErr w:type="spellStart"/>
      <w:r w:rsidRPr="004009D0">
        <w:rPr>
          <w:rFonts w:cs="Arial"/>
          <w:sz w:val="20"/>
          <w:szCs w:val="20"/>
        </w:rPr>
        <w:t>pseudo</w:t>
      </w:r>
      <w:proofErr w:type="spellEnd"/>
      <w:r w:rsidRPr="004009D0">
        <w:rPr>
          <w:rFonts w:cs="Arial"/>
          <w:sz w:val="20"/>
          <w:szCs w:val="20"/>
        </w:rPr>
        <w:t>-spravedlivé) dělení institucionální podpory na základě RIV bodů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Kvalitní doktorandi i ostatní studenti zapojení do řešení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a tvůrčích aktivit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Dobré institucionální zázemí pro zajištění tvůrčích činností, např. existence projektových center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Informační zabezpečení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Existence interního grantového systému a dalších interních mechanismů podpory mladých badatelů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Úzká spolupráce s AV ČR, spolupráce se zahraničními univerzitami a výzkumnými pracovišti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(25%)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Nedostatečné zapojení univerzity do mezinárodních projektů, nízký podíl zahraničních vědecko-výzkumných pracovníků na univerzitě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Nerovnoměrná kvalita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a tvůrčích aktivit mezi výzkumnými týmy, vědecké výsledky zajišťující přísun prostředků na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produkuje malý počet jednotlivců a úzkých týmů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Velká vytíženost akademických pracovníků - zbývá málo času na výzkum, vysoký podíl "neproduktivních" aktivit, vysoká zátěž pedagogickými aktivitami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Roztříštěnost úsilí akademických pracovníků do mnoha vědních oborů, účast ve velkém počtu projektů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Orientace akademických pracovníků na výsledky, pomocí nichž lze snadněji dosáhnout bodového hodnocení, nevhodná struktura výsledků v </w:t>
      </w:r>
      <w:proofErr w:type="gramStart"/>
      <w:r w:rsidRPr="004009D0">
        <w:rPr>
          <w:rFonts w:cs="Arial"/>
          <w:sz w:val="20"/>
          <w:szCs w:val="20"/>
        </w:rPr>
        <w:t>RIV</w:t>
      </w:r>
      <w:proofErr w:type="gramEnd"/>
      <w:r w:rsidRPr="004009D0">
        <w:rPr>
          <w:rFonts w:cs="Arial"/>
          <w:sz w:val="20"/>
          <w:szCs w:val="20"/>
        </w:rPr>
        <w:t xml:space="preserve"> (převaha „soft“ výsledků)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Nízká úspěšnost projektových žádostí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Nedostatečná a pomalá obnova infrastruktury pro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(Praha)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(24%)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Možnosti integrace a sdílení kapacit na úrovni univerzity i ve spolupráci s ostatními vysokými školami či dalšími institucemi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Rozvoj mezinárodní vědecké spolupráce, možnost podpory spolupráce se špičkovými pracovníky a týmy ze zahraničí prostřednictvím programu HORIZON 2020, Norské fondy apod.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Připravovaná metodika pro hodnocení kvality v oblasti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, snaha o </w:t>
      </w:r>
      <w:proofErr w:type="spellStart"/>
      <w:r w:rsidRPr="004009D0">
        <w:rPr>
          <w:rFonts w:cs="Arial"/>
          <w:sz w:val="20"/>
          <w:szCs w:val="20"/>
        </w:rPr>
        <w:t>kvalitativnější</w:t>
      </w:r>
      <w:proofErr w:type="spellEnd"/>
      <w:r w:rsidRPr="004009D0">
        <w:rPr>
          <w:rFonts w:cs="Arial"/>
          <w:sz w:val="20"/>
          <w:szCs w:val="20"/>
        </w:rPr>
        <w:t xml:space="preserve"> hodnocení výstupů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s privátním sektorem a propojení výzkumu s praxí, spolupráce s regiony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Operační programy v novém programovacím období i pro Prahu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Možnost daňových asignací pro firmy na podporu spolupráce s VŠ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Motivace výzkumných pracovníků k dosahování kvalitních výstupů formou finančního ohodnocení, prestiže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(24%)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Měnící se podmínky Metodiky RVVI pro hodnocení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>, nejasná strategie financování, neexistence střednědobé perspektivy financování vědecké činnosti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Měnící se a dlouhodobě neujasněná koncepce postavení a financování uměleckých vysokých škol v rámci systému VŠ.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Nedostatečná finanční podpora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z kapitoly státního rozpočtu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Zákon č. 137/2006 Sb., o veřejných zakázkách ve znění pozdějších předpisů (platný od </w:t>
      </w:r>
      <w:proofErr w:type="gramStart"/>
      <w:r w:rsidRPr="004009D0">
        <w:rPr>
          <w:rFonts w:cs="Arial"/>
          <w:sz w:val="20"/>
          <w:szCs w:val="20"/>
        </w:rPr>
        <w:t>1.1.2014</w:t>
      </w:r>
      <w:proofErr w:type="gramEnd"/>
      <w:r w:rsidRPr="004009D0">
        <w:rPr>
          <w:rFonts w:cs="Arial"/>
          <w:sz w:val="20"/>
          <w:szCs w:val="20"/>
        </w:rPr>
        <w:t>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Komplikovaná pravidla financování a vykazování, obrovská administrativní zátěž řešitelů projektů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Odchod talentovaných mladých a kvalitních vědecko-výzkumných pracovníků z VŠ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Rostoucí konkurence v soutěži o omezené grantové a institucionální finanční prostředky na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a tvůrčí aktivity v rámci ČR, velmi nízká úspěšnost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Prudký rozvoj nových výzkumných kapacit v ČR - hrozba v oblasti omezených finančních i personálních zdrojů, problematická udržitelnost vybudovaných výzkumných center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Diskriminace pražských VŠ při získávání finančních prostředků na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z evropských zdrojů</w:t>
      </w:r>
      <w:r w:rsidRPr="004009D0">
        <w:rPr>
          <w:rFonts w:cs="Arial"/>
          <w:b/>
          <w:sz w:val="20"/>
          <w:szCs w:val="20"/>
        </w:rPr>
        <w:br w:type="page"/>
      </w:r>
    </w:p>
    <w:p w:rsidR="003E333D" w:rsidRPr="004009D0" w:rsidRDefault="003E333D" w:rsidP="003E333D">
      <w:pPr>
        <w:rPr>
          <w:rFonts w:cs="Arial"/>
          <w:b/>
          <w:sz w:val="24"/>
          <w:szCs w:val="24"/>
        </w:rPr>
      </w:pPr>
      <w:r w:rsidRPr="004009D0">
        <w:rPr>
          <w:rFonts w:cs="Arial"/>
          <w:b/>
          <w:sz w:val="24"/>
          <w:szCs w:val="24"/>
        </w:rPr>
        <w:lastRenderedPageBreak/>
        <w:t xml:space="preserve">5. Problematika hodnocení </w:t>
      </w:r>
      <w:proofErr w:type="spellStart"/>
      <w:r w:rsidRPr="004009D0">
        <w:rPr>
          <w:rFonts w:cs="Arial"/>
          <w:b/>
          <w:sz w:val="24"/>
          <w:szCs w:val="24"/>
        </w:rPr>
        <w:t>VaV</w:t>
      </w:r>
      <w:proofErr w:type="spellEnd"/>
      <w:r w:rsidRPr="004009D0">
        <w:rPr>
          <w:rFonts w:cs="Arial"/>
          <w:b/>
          <w:sz w:val="24"/>
          <w:szCs w:val="24"/>
        </w:rPr>
        <w:t xml:space="preserve"> a tvůrčích aktivit na úrovni instituce a jejích součástí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(26%)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Interní manažerské systémy evidence a hodnocení výsledků, funkční kontrolní systém vykazování uplatňovaných výstupů do IS </w:t>
      </w:r>
      <w:proofErr w:type="spellStart"/>
      <w:r w:rsidRPr="004009D0">
        <w:rPr>
          <w:rFonts w:cs="Arial"/>
          <w:b/>
          <w:sz w:val="20"/>
          <w:szCs w:val="20"/>
        </w:rPr>
        <w:t>VaVaI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Přímá provázanost mezi </w:t>
      </w:r>
      <w:proofErr w:type="gramStart"/>
      <w:r w:rsidRPr="004009D0">
        <w:rPr>
          <w:rFonts w:cs="Arial"/>
          <w:b/>
          <w:sz w:val="20"/>
          <w:szCs w:val="20"/>
        </w:rPr>
        <w:t>vykonanou</w:t>
      </w:r>
      <w:proofErr w:type="gramEnd"/>
      <w:r w:rsidRPr="004009D0">
        <w:rPr>
          <w:rFonts w:cs="Arial"/>
          <w:b/>
          <w:sz w:val="20"/>
          <w:szCs w:val="20"/>
        </w:rPr>
        <w:t xml:space="preserve"> tvůrčí činnosti a osobním ohodnocením, podpora excelence, součást kariérního řádu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Funkční systém pro hodnocení uměleckých tvůrčích výkonů (RUV)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Systém hodnocení tvůrčích aktivit a jeho inovace je součástí strategie univerzity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Pravidelné periodické hodnocení tvůrčích aktivit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Transparentní systém dělení finančních prostředků za tvůrčí aktivity až na jednotlivé součásti – implementace celostátních standardů hodnocení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a tvůrčích aktivit do </w:t>
      </w:r>
      <w:proofErr w:type="spellStart"/>
      <w:r w:rsidRPr="004009D0">
        <w:rPr>
          <w:rFonts w:cs="Arial"/>
          <w:sz w:val="20"/>
          <w:szCs w:val="20"/>
        </w:rPr>
        <w:t>vnitrouniverzitních</w:t>
      </w:r>
      <w:proofErr w:type="spellEnd"/>
      <w:r w:rsidRPr="004009D0">
        <w:rPr>
          <w:rFonts w:cs="Arial"/>
          <w:sz w:val="20"/>
          <w:szCs w:val="20"/>
        </w:rPr>
        <w:t xml:space="preserve"> předpisů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Oceňování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aktivit i u studentů (motivační stipendia, ceny děkana či rektora)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(27%)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RIV neumí hodnotit kvalitu výstupů, nedostatečná oborová diferenciace v hodnocení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>, nerespektování specifik jednotlivých vědních oborů při hodnocení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Chybějící nebo nevyužívaný systém hodnocení kvality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i jiných tvůrčích činností, často pouze formální hodnocení bez přihlédnutí ke skutečné kvalitě, převažuje pouze výkaznictví (kvantita)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Řada výsledků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nenaplňuje požadavek excelence, velké rozdíly v kvalitě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jednotlivých pracovišť, nepostižitelnost "nevýkonných" pracovníků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Velká administrativní zátěž fakult i rektorátu, přetíženost pracovníků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Přetrvávající neujasněná proporce mezi hodnocením teoretických a aplikovaných výsledků v celostátním měřítku i v rámci univerzity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Nedostatečný důraz na význam mezinárodního rozměru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, srovnání výsledků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s obdobnými institucemi v zahraničí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Umělecké školy (podobně jako humanitní) narážejí na neexistenci mezinárodních oborových databází a obecně sdílených kritérií posuzování kvality výsledků (jakými jsou v přírodních vědách např. citace)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Přetrvávající neujasněná proporce mezi hodnocením teoretických a aplikovaných výsledků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Chybějící popularizace výsledků hodnocení v rámci univerzity a jejích součástí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(22%)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Vytvoření objektivního a oborově diferencovaného systému hodnocení vědecké a tvůrčí činnosti a metodiky pro hodnocení umělecké činnosti, hodnocení kvality namísto kvantity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Inspirace dobrou praxí z jiných vysokých škol a univerzit při hodnocení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a tvůrčích aktivit, využití mezinárodních zkušeností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se do přípravy kritérií a procesu hodnocení výzkumných organizací, do hodnotících panelů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Oceňování excelentních výstupů, lepší prezentace excelentních výsledků na veřejnosti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Podpora a tlak na odbornou veřejnost na zkvalitnění publikačního prostředí (publikace v kvalitních tuzemských periodikách)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Zdokonalování RUV, jeho obohacování o další funkce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(25%)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Nevyhovující metodika hodnocení výsledků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v ČR nutně ovlivňuje i posuzování výsledků uvnitř VŠ, relativně časté a obtížně </w:t>
      </w:r>
      <w:proofErr w:type="spellStart"/>
      <w:r w:rsidRPr="004009D0">
        <w:rPr>
          <w:rFonts w:cs="Arial"/>
          <w:b/>
          <w:sz w:val="20"/>
          <w:szCs w:val="20"/>
        </w:rPr>
        <w:t>predikovatelné</w:t>
      </w:r>
      <w:proofErr w:type="spellEnd"/>
      <w:r w:rsidRPr="004009D0">
        <w:rPr>
          <w:rFonts w:cs="Arial"/>
          <w:b/>
          <w:sz w:val="20"/>
          <w:szCs w:val="20"/>
        </w:rPr>
        <w:t xml:space="preserve"> změny v systému hodnocení výsledků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>, přílišná byrokratizace a složitost celého systému hodnocení, retrospektivita nastavených opatření, porovnávání nesrovnatelného, subjektivita hodnocení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Rostoucí tlaky na přímou aplikovatelnost výzkumu a zahrnutí tohoto parametru do financování VVŠ (na úkor základního výzkumu)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Pokračující diskriminace a marginalizace výsledků humanitních a společenskovědních oborů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Obtížnost univerzálního hodnocení uměleckých výsledků při značné různorodosti uměleckých oborů, posun hodnocení dle RUV na </w:t>
      </w:r>
      <w:proofErr w:type="gramStart"/>
      <w:r w:rsidRPr="004009D0">
        <w:rPr>
          <w:rFonts w:cs="Arial"/>
          <w:sz w:val="20"/>
          <w:szCs w:val="20"/>
        </w:rPr>
        <w:t>1.1.2015</w:t>
      </w:r>
      <w:proofErr w:type="gramEnd"/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Neodůvodněné snižování počtu recenzovaných periodik; neprůhledný proces této aktivity</w:t>
      </w:r>
    </w:p>
    <w:p w:rsidR="00E21A55" w:rsidRDefault="00E21A55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6. Smluvní spolupráce s aplikační sférou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(28%)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Dobré jméno, dlouhá tradice a intenzivní spolupráce s aplikační sférou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Existence CTT a odd. </w:t>
      </w:r>
      <w:proofErr w:type="gramStart"/>
      <w:r w:rsidRPr="004009D0">
        <w:rPr>
          <w:rFonts w:cs="Arial"/>
          <w:b/>
          <w:sz w:val="20"/>
          <w:szCs w:val="20"/>
        </w:rPr>
        <w:t>pro</w:t>
      </w:r>
      <w:proofErr w:type="gramEnd"/>
      <w:r w:rsidRPr="004009D0">
        <w:rPr>
          <w:rFonts w:cs="Arial"/>
          <w:b/>
          <w:sz w:val="20"/>
          <w:szCs w:val="20"/>
        </w:rPr>
        <w:t xml:space="preserve"> transfer znalostí a technologií na univerzitě, existence rady pro spolupráci s praxí, rozvojového a poradenského centra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Formalizace smluvní spolupráce s hlavními partnery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Strategické umístění univerzity v kraji se silným zastoupením významných firem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Vznik center a VTP orientovaných na spolupráci s aplikační sférou, vybudovaná funkční infrastruktura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Podpora aktivit napomáhajících studentům a absolventům navázat spolupráci s aplikační sférou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Aktivní členství v oborových organizacích, technologických platformách a clusterech (tuzemské i zahraniční) 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Úspěšné zapojení do nových typů spoluprací - např. inovační vouchery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odborníků z aplikační sféry do výuky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(25%)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Nerozvinutý marketing v oblasti vědeckých konzultačních služeb a spolupráce s aplikační sférou (malá znalost možností univerzity ze strany firem)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Nízká motivace ke spolupráci s aplikační sférou, nízká míra smluvní spolupráce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Podpora smluvního výzkumu není centralizovaná, nedostatečný management smluvního výzkumu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Velké vytížení již aktivních akademiků a nezájem části akademiků o spolupráci s praxí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Neexistence pravidel na VŠ pro smluvní spolupráci, jež by stimulovala k hledání takovéto spolupráce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Malé využívání spolupráce s absolventy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Vztahy s partnery jsou více záležitost jednotlivých akademických pracovníků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Špatné technické vybavení a nedostatečné prostorové zázemí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Malá rychlost odezvy a nižší míra flexibility při řešení projektů a zakázek, neznalost potřeb aplikační sféry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Obtížné získávání nových zakázek smluvního výzkumu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Smluvní spolupráce s aplikovanou sférou často negeneruje publikace ani jiné výstupy v </w:t>
      </w:r>
      <w:proofErr w:type="spellStart"/>
      <w:proofErr w:type="gramStart"/>
      <w:r w:rsidRPr="004009D0">
        <w:rPr>
          <w:rFonts w:cs="Arial"/>
          <w:sz w:val="20"/>
          <w:szCs w:val="20"/>
        </w:rPr>
        <w:t>RIVu</w:t>
      </w:r>
      <w:proofErr w:type="spellEnd"/>
      <w:proofErr w:type="gramEnd"/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(27%)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Vytváření týmů s aplikační sférou a jejich účast v projektovém řízení, navazování nových strategických partnerství ve výzkumu a vývoji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Využití průmyslového potenciálu regionu a jeho možného propojení s 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a vzděláváním, spolupráce s regionálními inovačními centry, spolupráce v rámci kraje/regionu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na základě osobních kontaktů (absolventi ve firmách)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Legislativní podpora subjektů odebírajících výsledky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se zahraničními subjekty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Finanční podpora spolupráce s aplikační sférou prostřednictvím OP nebo účelových projektů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studentů do aplikovaného výzkumu, nabídka témat kvalifikačních prací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Nastavení spolupráce s aplikační sférou na principech sdílené budoucnosti, možnost financování inovací, </w:t>
      </w:r>
      <w:proofErr w:type="spellStart"/>
      <w:r w:rsidRPr="004009D0">
        <w:rPr>
          <w:rFonts w:cs="Arial"/>
          <w:sz w:val="20"/>
          <w:szCs w:val="20"/>
        </w:rPr>
        <w:t>proof-of-concept</w:t>
      </w:r>
      <w:proofErr w:type="spellEnd"/>
      <w:r w:rsidRPr="004009D0">
        <w:rPr>
          <w:rFonts w:cs="Arial"/>
          <w:sz w:val="20"/>
          <w:szCs w:val="20"/>
        </w:rPr>
        <w:t xml:space="preserve">, venture </w:t>
      </w:r>
      <w:proofErr w:type="spellStart"/>
      <w:r w:rsidRPr="004009D0">
        <w:rPr>
          <w:rFonts w:cs="Arial"/>
          <w:sz w:val="20"/>
          <w:szCs w:val="20"/>
        </w:rPr>
        <w:t>capital</w:t>
      </w:r>
      <w:proofErr w:type="spellEnd"/>
      <w:r w:rsidRPr="004009D0">
        <w:rPr>
          <w:rFonts w:cs="Arial"/>
          <w:sz w:val="20"/>
          <w:szCs w:val="20"/>
        </w:rPr>
        <w:t xml:space="preserve"> a </w:t>
      </w:r>
      <w:proofErr w:type="spellStart"/>
      <w:r w:rsidRPr="004009D0">
        <w:rPr>
          <w:rFonts w:cs="Arial"/>
          <w:sz w:val="20"/>
          <w:szCs w:val="20"/>
        </w:rPr>
        <w:t>seed</w:t>
      </w:r>
      <w:proofErr w:type="spellEnd"/>
      <w:r w:rsidRPr="004009D0">
        <w:rPr>
          <w:rFonts w:cs="Arial"/>
          <w:sz w:val="20"/>
          <w:szCs w:val="20"/>
        </w:rPr>
        <w:t xml:space="preserve"> </w:t>
      </w:r>
      <w:proofErr w:type="spellStart"/>
      <w:r w:rsidRPr="004009D0">
        <w:rPr>
          <w:rFonts w:cs="Arial"/>
          <w:sz w:val="20"/>
          <w:szCs w:val="20"/>
        </w:rPr>
        <w:t>capital</w:t>
      </w:r>
      <w:proofErr w:type="spellEnd"/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(20%)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Problémy spojené s absencí možnosti využití přístrojové techniky získané z evropských prostředků pro komerční činnost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Malý zájem firem o spolupráci, pokud není dotován z veřejných zdrojů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Globalizace -vlastnictví velké části firem je mimo ČR, kde je realizován i firemní výzkum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Právní řád neulehčuje spolupráci - problematika veřejné podpory, dělení duševního vlastnictví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Odchod schopných akademických pracovníků mimo prostředí VŠ – finanční důvody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Vzrůstající konkurence mezi výzkumnými organizacemi a VŠ navzájem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Soustředěnost praxe pouze na řešení operativní problémů, nikoliv na dlouhodobější koncepční výzkum</w:t>
      </w:r>
    </w:p>
    <w:p w:rsidR="003E333D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Přetrvávající ekonomická krize</w:t>
      </w:r>
    </w:p>
    <w:p w:rsidR="004009D0" w:rsidRPr="004009D0" w:rsidRDefault="004009D0" w:rsidP="004009D0">
      <w:pPr>
        <w:pStyle w:val="Odstavecseseznamem"/>
        <w:spacing w:after="120" w:line="240" w:lineRule="auto"/>
        <w:ind w:left="284"/>
        <w:rPr>
          <w:rFonts w:cs="Arial"/>
          <w:sz w:val="20"/>
          <w:szCs w:val="20"/>
        </w:rPr>
      </w:pPr>
    </w:p>
    <w:p w:rsidR="00E21A55" w:rsidRDefault="00E21A55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7. Komercializace výsledků duševního vlastnictví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(27%)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Systémová podpora v rámci univerzity - existence CTT, rady pro komercializaci nebo jiné infrastruktury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Existence vnitřních předpisů k ochraně a komercionalizaci výsledků duševního vlastnictví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Existence katalogu přístrojů a služeb vhodných pro komerční výzkum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Tradice a zkušenosti s vytvářením a procesováním patentů a dalších forem </w:t>
      </w:r>
      <w:proofErr w:type="spellStart"/>
      <w:r w:rsidRPr="004009D0">
        <w:rPr>
          <w:rFonts w:cs="Arial"/>
          <w:sz w:val="20"/>
          <w:szCs w:val="20"/>
        </w:rPr>
        <w:t>komercionalizovatelných</w:t>
      </w:r>
      <w:proofErr w:type="spellEnd"/>
      <w:r w:rsidRPr="004009D0">
        <w:rPr>
          <w:rFonts w:cs="Arial"/>
          <w:sz w:val="20"/>
          <w:szCs w:val="20"/>
        </w:rPr>
        <w:t xml:space="preserve"> aktivit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Systém vzdělávání v této oblasti - školení akademických pracovníků i studentů v tématech ochrany duševního vlastnictví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Podpora komercializace ze strany vedení univerzity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(28%)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Málo výsledků vhodných pro komercionalizaci, zaměření univerzity převážně na základní výzkum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Malá zkušenost s komercionalizací výsledků duševního vlastnictví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Komercializace není centralizovaná do jednoho místa, roztříštěnost po součástech univerzity, chybí jednotná patentová politika, chybí funkční procesní systém v rámci univerzity včetně potřebných předpisů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Střet zájmů některých akademických pracovníků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(24%)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Nalezení a další vzdělávání schopných manažerů se zkušenostmi v oblasti transferu poznatků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Spolupráce VŠ, municipalit a výrobní sféry v rámci regionu/kraje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Vzájemná spolupráce VŠ v oblasti komercializace – sdílení </w:t>
      </w:r>
      <w:proofErr w:type="spellStart"/>
      <w:r w:rsidRPr="004009D0">
        <w:rPr>
          <w:rFonts w:cs="Arial"/>
          <w:sz w:val="20"/>
          <w:szCs w:val="20"/>
        </w:rPr>
        <w:t>good</w:t>
      </w:r>
      <w:proofErr w:type="spellEnd"/>
      <w:r w:rsidRPr="004009D0">
        <w:rPr>
          <w:rFonts w:cs="Arial"/>
          <w:sz w:val="20"/>
          <w:szCs w:val="20"/>
        </w:rPr>
        <w:t xml:space="preserve"> </w:t>
      </w:r>
      <w:proofErr w:type="spellStart"/>
      <w:r w:rsidRPr="004009D0">
        <w:rPr>
          <w:rFonts w:cs="Arial"/>
          <w:sz w:val="20"/>
          <w:szCs w:val="20"/>
        </w:rPr>
        <w:t>practices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do podnikatelských inkubátorů, start-up, spin-</w:t>
      </w:r>
      <w:proofErr w:type="spellStart"/>
      <w:r w:rsidRPr="004009D0">
        <w:rPr>
          <w:rFonts w:cs="Arial"/>
          <w:sz w:val="20"/>
          <w:szCs w:val="20"/>
        </w:rPr>
        <w:t>off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Osvěta v oblasti daňové legislativy - možnost odečtu spolupráce s VŠ z daňového základu u </w:t>
      </w:r>
      <w:proofErr w:type="gramStart"/>
      <w:r w:rsidRPr="004009D0">
        <w:rPr>
          <w:rFonts w:cs="Arial"/>
          <w:sz w:val="20"/>
          <w:szCs w:val="20"/>
        </w:rPr>
        <w:t>dani</w:t>
      </w:r>
      <w:proofErr w:type="gramEnd"/>
      <w:r w:rsidRPr="004009D0">
        <w:rPr>
          <w:rFonts w:cs="Arial"/>
          <w:sz w:val="20"/>
          <w:szCs w:val="20"/>
        </w:rPr>
        <w:t xml:space="preserve"> z příjmu právnických osob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Zavést motivační systém pro komercionalizaci, rozvoj marketingu a prezentace </w:t>
      </w:r>
      <w:proofErr w:type="spellStart"/>
      <w:r w:rsidRPr="004009D0">
        <w:rPr>
          <w:rFonts w:cs="Arial"/>
          <w:b/>
          <w:sz w:val="20"/>
          <w:szCs w:val="20"/>
        </w:rPr>
        <w:t>komercializovatelných</w:t>
      </w:r>
      <w:proofErr w:type="spellEnd"/>
      <w:r w:rsidRPr="004009D0">
        <w:rPr>
          <w:rFonts w:cs="Arial"/>
          <w:b/>
          <w:sz w:val="20"/>
          <w:szCs w:val="20"/>
        </w:rPr>
        <w:t xml:space="preserve"> výsledků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Rozvoj vazeb na zahraniční partnery v oblasti komercializace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Možnost využití prostředků OP a dalších účelových prostředků při zakládání center komercializace nebo budování vnitřních systémů pro komercializaci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(21%)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Zneužití duševního vlastnictví, ztráta vlivu na výsledky, nekorektní jednání firem vůči univerzitě při komercionalizaci duševního vlastnictví, vyvádění výzkumných aktivit přes zakládání vlastních firem bez účasti univerzity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Struktura průmyslu orientovaná pouze na montáž bez přidané hodnoty a nízká inovační schopnost některých firem, nezájem o duševní vlastnictví VŠ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Finanční náročnost ochrany patentů, vysoké náklady správy portfolia duševního vlastnictví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Zdlouhavá aplikace výsledků v praxi, dlouhá doba od registrace předmětu duševního vlastnictví do doby než výsledek produkuje reálný ekonomický přínos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Silná konkurence ostatních vysokých škol</w:t>
      </w:r>
    </w:p>
    <w:p w:rsidR="003E333D" w:rsidRPr="004009D0" w:rsidRDefault="003E333D" w:rsidP="003E333D">
      <w:pPr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8. Zvýšení objemu prostředků z veřejných a neveřejných zdrojů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(23%)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Relativně stabilní model financování uměleckých VVŠ jako určitá forma </w:t>
      </w:r>
      <w:proofErr w:type="spellStart"/>
      <w:r w:rsidRPr="004009D0">
        <w:rPr>
          <w:rFonts w:cs="Arial"/>
          <w:sz w:val="20"/>
          <w:szCs w:val="20"/>
        </w:rPr>
        <w:t>kontraktového</w:t>
      </w:r>
      <w:proofErr w:type="spellEnd"/>
      <w:r w:rsidRPr="004009D0">
        <w:rPr>
          <w:rFonts w:cs="Arial"/>
          <w:sz w:val="20"/>
          <w:szCs w:val="20"/>
        </w:rPr>
        <w:t xml:space="preserve"> financování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Konkurenceschopnost v oblasti studijních programů vyučovaných v cizích jazycích - zvyšující se počet samoplátců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Nižší míra závislosti na normativním financování ze státního rozpočtu, schopnost získávat grantové účelové prostředky, možnost získat prostředky z </w:t>
      </w:r>
      <w:proofErr w:type="gramStart"/>
      <w:r w:rsidRPr="004009D0">
        <w:rPr>
          <w:rFonts w:cs="Arial"/>
          <w:sz w:val="20"/>
          <w:szCs w:val="20"/>
        </w:rPr>
        <w:t>OP</w:t>
      </w:r>
      <w:proofErr w:type="gramEnd"/>
      <w:r w:rsidRPr="004009D0">
        <w:rPr>
          <w:rFonts w:cs="Arial"/>
          <w:sz w:val="20"/>
          <w:szCs w:val="20"/>
        </w:rPr>
        <w:t xml:space="preserve"> ESF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do mezinárodních projektů, zapojení zahraničních vědců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Stabilní zájem o studium, dobrá uplatnitelnost absolventů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Doplňková činnost, potenciál pro poskytování poradenských služeb, odborných a znaleckých posudků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Funkční administrativní zázemí pro administraci nových, funkční informační systémy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Vysoký vědecký výkon instituce (institucionální podpora)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Pořádání kurzů za úplatu, CŽV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Interdisciplinarita univerzity jako výhoda při získávání dalších projektů a zakázek, mezifakultní spolupráce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(22%)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Závislost na projektech OP ESF (mimopražští), naopak nemožnost přihlásit se do většiny OP ESF (Praha)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Nízká úspěšnost při získávání grantů, která je v protikladu s velkou závislostí na účelovém financování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Malý podíl prostředků z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  <w:r w:rsidRPr="004009D0">
        <w:rPr>
          <w:rFonts w:cs="Arial"/>
          <w:sz w:val="20"/>
          <w:szCs w:val="20"/>
        </w:rPr>
        <w:t xml:space="preserve"> aktivit na celkovém financování univerzity – následně nízký podíl na ukazateli K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Slabá spolupráce s neveřejnou sférou, nízký stupeň komercionalizace dosažených výstupů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right="-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Nedostatek vlastních prostředků k dofinancování projektů, klesající ochota partnerů ke kofinancování projektů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Roztříštěnost podpůrných činností, vnitřní nejednotnost univerzity, nedostatečné administrativní zázemí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Limitovaný počet kvalitních a aktivních řešitelů/spoluřešitelů projektů a smluvní spolupráce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Značné rezervy v získávání sponzorských prostředků a darů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Neschopnost čerpat ve větší míře prostředky z kompetitivních zahraničních programů FP7, ERC, H2020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Malá pružnost v přizpůsobení se potřebám trhu a regionu, úzká specializace/zaměření projektů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Stále malý počet samoplátců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(27%)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Rostoucí zájem o CŽV, posílení atraktivní nabídky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Cílené budování kontaktů s aplikační sférou, pružnější reakce na poptávku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Nové projekty na podporu </w:t>
      </w:r>
      <w:proofErr w:type="spellStart"/>
      <w:r w:rsidRPr="004009D0">
        <w:rPr>
          <w:rFonts w:cs="Arial"/>
          <w:b/>
          <w:sz w:val="20"/>
          <w:szCs w:val="20"/>
        </w:rPr>
        <w:t>VaVaI</w:t>
      </w:r>
      <w:proofErr w:type="spellEnd"/>
      <w:r w:rsidRPr="004009D0">
        <w:rPr>
          <w:rFonts w:cs="Arial"/>
          <w:b/>
          <w:sz w:val="20"/>
          <w:szCs w:val="20"/>
        </w:rPr>
        <w:t xml:space="preserve"> z veřejných zdrojů, další programové období OP ESF i pro Prahu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Změna způsobu financování VŠ (větší váha na kvalitu místo kvantity)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Rychlejší ukončení tzv. dohodovacího řízení o financovaných počtech studií – usnadní plánování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Rostoucí zájem zahraničních studentů o programy vyučované v cizích jazycích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Zmapování potřeb trhu a regionu o služby VŠ, partnerství s regionálními subjekty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Úspory díky centralizovanému nákupu v rámci univerzity i regionu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Větší využití zahraničních účelových grantů (H2020)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Využití kontaktů s absolventy, navázání spolupráce s aplikační sférou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(28%)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Nestabilita financování během delšího období, nepříznivý vývoj státního rozpočtu, pokles objemu prostředků na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a vzdělávání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Vyloučení/diskriminace pražských vysokých škol v </w:t>
      </w:r>
      <w:proofErr w:type="gramStart"/>
      <w:r w:rsidRPr="004009D0">
        <w:rPr>
          <w:rFonts w:cs="Arial"/>
          <w:sz w:val="20"/>
          <w:szCs w:val="20"/>
        </w:rPr>
        <w:t>OP</w:t>
      </w:r>
      <w:proofErr w:type="gramEnd"/>
      <w:r w:rsidRPr="004009D0">
        <w:rPr>
          <w:rFonts w:cs="Arial"/>
          <w:sz w:val="20"/>
          <w:szCs w:val="20"/>
        </w:rPr>
        <w:t xml:space="preserve"> ESF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Rostoucí konkurence jiných VŠ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Demografie, pokles počtu studentů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Ztráta existující částečné finanční autonomie - státní pokladna, řízení likvidity vysoké školy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Pokračující rostoucí zátěž v administraci veřejných prostředků, riziko neuznatelných nákladů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Nízká úspěšnost v soutěžích o grantovou podporu daná malým objem prostředků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right="-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Úspory firem, menší míra sponzoringu, neochota nadnárodních společností investovat do rozvoje na území ČR</w:t>
      </w:r>
    </w:p>
    <w:p w:rsidR="003E333D" w:rsidRPr="004009D0" w:rsidRDefault="003E333D" w:rsidP="003E333D">
      <w:pPr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9. Přímé propojení mezi výsledky činnosti a financováním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(27%)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Systém vnitřního rozdělování financí dle skutečných výkonů, vazba institucionálního financování na výsledky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Motivace pracovníků k tvůrčím 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aktivitám a k doplňkové činnosti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Centralizované obslužné procesy, využití elektronických informačních systémů, kontrolní mechanismy sledování čerpání prostředků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Nezávislost na jednom zdroji financování, vícezdrojové financování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Metodika vyplácení stipendií DSP - zainteresovanost na výkonu a kvalitě studenta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Podpora zájmu/motivace ze strany studentů (nejen DSP) o řešení projektů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Efektivní řízení počtu studentů a tím optimalizace rozpočtů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(25%)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Nevyvážený vztah pedagogická činnost x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  <w:r w:rsidRPr="004009D0">
        <w:rPr>
          <w:rFonts w:cs="Arial"/>
          <w:b/>
          <w:sz w:val="20"/>
          <w:szCs w:val="20"/>
        </w:rPr>
        <w:t xml:space="preserve"> x ostatní aktivity, nejasná vazba mezi kvalitou výuky a financováním pracovišť, obtížné měření pedagogických výkonů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Absence metodiky pro určení režijních nákladů, nízká flexibilita nastavení výše režijních nákladů u výzkumné činnosti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Nevyrovnanost výkonů mezi jednotlivými pracovišti a fakultami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Nechuť rektorátu i součástí prohloubit diskuzi o možnostech hledání efektivnějšího způsobu rozdělování veřejných zdrojů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Univerzitní informační systém nepodporuje využití výstupů pro rozpočtování, množství ruční práce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Nedostatečné množství volných prostředků pro motivaci pracovníků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Nedostatek kvalifikovaných lidských zdrojů pro zajištění podpůrných a administrativních procesů, nedostatečně pružný servis některých obslužných pracovišť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Nízké povědomí akademické obce o přímém vlivu aktivit výzkumu a vývoje na financování školy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(22%)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Posílení vazby mezi výsledky a financováním – </w:t>
      </w:r>
      <w:proofErr w:type="spellStart"/>
      <w:r w:rsidRPr="004009D0">
        <w:rPr>
          <w:rFonts w:cs="Arial"/>
          <w:b/>
          <w:sz w:val="20"/>
          <w:szCs w:val="20"/>
        </w:rPr>
        <w:t>kontraktové</w:t>
      </w:r>
      <w:proofErr w:type="spellEnd"/>
      <w:r w:rsidRPr="004009D0">
        <w:rPr>
          <w:rFonts w:cs="Arial"/>
          <w:b/>
          <w:sz w:val="20"/>
          <w:szCs w:val="20"/>
        </w:rPr>
        <w:t xml:space="preserve"> financování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Pilotní ověření nových záměrů rozvoje vzdělávací a umělecké činnosti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Implementace kladných zahraničních zkušeností do činnosti univerzity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Tvorba přesnějších a propracovanějších nástrojů k monitorování vysokého školství a k vykazování jeho výsledků, posílení parametrů kvality činnosti v konstrukci příspěvku na vzdělávací činnost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Stabilizace pravidel financování VŠ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Potenciál nových možností navázání spolupráce s aplikační sférou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(27%)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Nedostatek prostředků na výzkum a vývoj v kapitole státního rozpočtu, podfinancování VŠ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Vzrůstající administrativní zátěž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Nezohlednění specifik vysokého uměleckého školství v připravované nové metodě tvorby rozpočtu vysokých škol - algoritmus výpočtu výše dotace/příspěvku u IRP/IP nezohledňuje specifika </w:t>
      </w:r>
      <w:proofErr w:type="spellStart"/>
      <w:r w:rsidRPr="004009D0">
        <w:rPr>
          <w:rFonts w:cs="Arial"/>
          <w:sz w:val="20"/>
          <w:szCs w:val="20"/>
        </w:rPr>
        <w:t>RUVu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Hrozba neshody na změnách systému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Nízká </w:t>
      </w:r>
      <w:proofErr w:type="spellStart"/>
      <w:r w:rsidRPr="004009D0">
        <w:rPr>
          <w:rFonts w:cs="Arial"/>
          <w:sz w:val="20"/>
          <w:szCs w:val="20"/>
        </w:rPr>
        <w:t>predikovatelnost</w:t>
      </w:r>
      <w:proofErr w:type="spellEnd"/>
      <w:r w:rsidRPr="004009D0">
        <w:rPr>
          <w:rFonts w:cs="Arial"/>
          <w:sz w:val="20"/>
          <w:szCs w:val="20"/>
        </w:rPr>
        <w:t xml:space="preserve"> finančních prostředků do dalšího období - riziko, omezení koncepční práce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Negativní dopad některých nově zaváděných ukazatelů pro rozpis rozpočtu VVŠ zejména pro menší nebo nově vzniklé součásti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 xml:space="preserve">Neúměrné prodlužování existence stávající metodiky hodnoceni </w:t>
      </w:r>
      <w:proofErr w:type="spellStart"/>
      <w:r w:rsidRPr="004009D0">
        <w:rPr>
          <w:rFonts w:cs="Arial"/>
          <w:sz w:val="20"/>
          <w:szCs w:val="20"/>
        </w:rPr>
        <w:t>VaV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Konkurence soukromých vysokých škol zejména v oblasti společenskovědních oborů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Vysoká závislost společenskovědních fakult na příspěvku na vzdělávací činnost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Konkurence vybudovaných pracovišť podobného zaměření</w:t>
      </w:r>
    </w:p>
    <w:p w:rsidR="003E333D" w:rsidRPr="004009D0" w:rsidRDefault="003E333D" w:rsidP="003E333D">
      <w:pPr>
        <w:pStyle w:val="Odstavecseseznamem"/>
        <w:numPr>
          <w:ilvl w:val="0"/>
          <w:numId w:val="4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Doposud neschválená novela zákona o VVŠ</w:t>
      </w:r>
    </w:p>
    <w:p w:rsidR="003E333D" w:rsidRPr="004009D0" w:rsidRDefault="003E333D" w:rsidP="003E333D">
      <w:pPr>
        <w:rPr>
          <w:rFonts w:cs="Arial"/>
          <w:b/>
          <w:sz w:val="28"/>
          <w:szCs w:val="28"/>
        </w:rPr>
      </w:pPr>
      <w:r w:rsidRPr="004009D0">
        <w:rPr>
          <w:rFonts w:cs="Arial"/>
          <w:b/>
          <w:sz w:val="28"/>
          <w:szCs w:val="28"/>
        </w:rPr>
        <w:br w:type="page"/>
      </w:r>
    </w:p>
    <w:p w:rsidR="003E333D" w:rsidRPr="004009D0" w:rsidRDefault="003E333D" w:rsidP="003E333D">
      <w:pPr>
        <w:rPr>
          <w:rFonts w:cs="Arial"/>
          <w:b/>
          <w:sz w:val="26"/>
          <w:szCs w:val="26"/>
        </w:rPr>
      </w:pPr>
      <w:r w:rsidRPr="004009D0">
        <w:rPr>
          <w:rFonts w:cs="Arial"/>
          <w:b/>
          <w:sz w:val="26"/>
          <w:szCs w:val="26"/>
        </w:rPr>
        <w:lastRenderedPageBreak/>
        <w:t>10. Rozvoj a obnova infrastruktury vysoké školy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S (29%)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Rekonstruované budovy a nově vybudované budovy z </w:t>
      </w:r>
      <w:proofErr w:type="gramStart"/>
      <w:r w:rsidRPr="004009D0">
        <w:rPr>
          <w:rFonts w:cs="Arial"/>
          <w:b/>
          <w:sz w:val="20"/>
          <w:szCs w:val="20"/>
        </w:rPr>
        <w:t>OP</w:t>
      </w:r>
      <w:proofErr w:type="gramEnd"/>
      <w:r w:rsidRPr="004009D0">
        <w:rPr>
          <w:rFonts w:cs="Arial"/>
          <w:b/>
          <w:sz w:val="20"/>
          <w:szCs w:val="20"/>
        </w:rPr>
        <w:t xml:space="preserve"> </w:t>
      </w:r>
      <w:proofErr w:type="spellStart"/>
      <w:r w:rsidRPr="004009D0">
        <w:rPr>
          <w:rFonts w:cs="Arial"/>
          <w:b/>
          <w:sz w:val="20"/>
          <w:szCs w:val="20"/>
        </w:rPr>
        <w:t>VaVpI</w:t>
      </w:r>
      <w:proofErr w:type="spellEnd"/>
      <w:r w:rsidRPr="004009D0">
        <w:rPr>
          <w:rFonts w:cs="Arial"/>
          <w:b/>
          <w:sz w:val="20"/>
          <w:szCs w:val="20"/>
        </w:rPr>
        <w:t xml:space="preserve"> a dalších zdrojů, solidní úroveň kampusů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Příprava strategických rámců řešení technologických potřeb, projektová připravenost, existence generelu rozvoje univerzity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Dobrá IT vybavenost, navzájem propojená struktura informačních systémů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Systematická údržba, kvalitní správa a obnova infrastruktury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s městem/regionem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Prioritou jsou investice do energeticky úsporných opatření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Objekty a pozemky potřebné pro dlouhodobý rozvoj jsou v majetku univerzity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Průhlednost financování univerzity a jejích součástí motivující pracoviště k dobrým výsledkům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Tvorba rezerv na obnovu infrastruktury ve fondu reprodukce investičního majetku</w:t>
      </w:r>
    </w:p>
    <w:p w:rsidR="003E333D" w:rsidRPr="004009D0" w:rsidRDefault="003E333D" w:rsidP="003E333D">
      <w:pPr>
        <w:pStyle w:val="Odstavecseseznamem"/>
        <w:numPr>
          <w:ilvl w:val="0"/>
          <w:numId w:val="1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Investice i do podpůrných aktivit (dětský koutek, sportoviště, konferenční prostory)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W (27%)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Roztříštěnost areálů kampusů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Absentující systém "</w:t>
      </w:r>
      <w:proofErr w:type="spellStart"/>
      <w:r w:rsidRPr="004009D0">
        <w:rPr>
          <w:rFonts w:cs="Arial"/>
          <w:sz w:val="20"/>
          <w:szCs w:val="20"/>
        </w:rPr>
        <w:t>facility</w:t>
      </w:r>
      <w:proofErr w:type="spellEnd"/>
      <w:r w:rsidRPr="004009D0">
        <w:rPr>
          <w:rFonts w:cs="Arial"/>
          <w:sz w:val="20"/>
          <w:szCs w:val="20"/>
        </w:rPr>
        <w:t xml:space="preserve"> management", chybí zastupitelnost klíčových (systémových) pracovníků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Administrativní náročnost realizace investičních projektů a nedostatečné řízení jejich kvality, pomalá příprava investičních akcí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Zvýšené náklady na provoz nově pořízených prostor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Omezený přístup ke strukturálním fondům EU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 xml:space="preserve">Neexistuje ekonomická motivace pro efektivní a racionální využívání prostor, nesystémové využití prostor, neexistence uceleného systému využívání, správy a rozvoje prostor pro vzdělávání a </w:t>
      </w:r>
      <w:proofErr w:type="spellStart"/>
      <w:r w:rsidRPr="004009D0">
        <w:rPr>
          <w:rFonts w:cs="Arial"/>
          <w:b/>
          <w:sz w:val="20"/>
          <w:szCs w:val="20"/>
        </w:rPr>
        <w:t>VaV</w:t>
      </w:r>
      <w:proofErr w:type="spellEnd"/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Chybějící či nevyhovující zázemí pro ubytování či volnočasové aktivity (koleje, sportoviště)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Omezený prostor pro další rozvoj areálu</w:t>
      </w:r>
    </w:p>
    <w:p w:rsidR="003E333D" w:rsidRPr="004009D0" w:rsidRDefault="003E333D" w:rsidP="003E333D">
      <w:pPr>
        <w:pStyle w:val="Odstavecseseznamem"/>
        <w:numPr>
          <w:ilvl w:val="0"/>
          <w:numId w:val="2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Nerovnoměrnost v rozložení prostředků OP ESF v rámci investic na univerzitě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O (22%)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Systémová integrace podpůrných systémů IT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Využití nových OP ESF, a to včetně Prahy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Zlepšení dopravní dostupnosti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Využití programového financování ISPROFIN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Využití volných kapacit v areálu kampusu, pronájem či prodej volných kapacit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Využití grantové účelové podpory, včetně NPU I a II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Zapojení do rozvojových aktivit města a kraje, využití postavení univerzity v regionu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Spolupráce s ostatními VVŠ, sdílení technologií, společná pracoviště - rychlejší obnova vybavení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Příprava kvalitních investičních projektů</w:t>
      </w:r>
    </w:p>
    <w:p w:rsidR="003E333D" w:rsidRPr="004009D0" w:rsidRDefault="003E333D" w:rsidP="003E333D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Investice do ubytovacích kapacit a dalších sociálních a volnočasových záležitostí (dětský koutek, sportoviště)</w:t>
      </w:r>
    </w:p>
    <w:p w:rsidR="003E333D" w:rsidRPr="004009D0" w:rsidRDefault="003E333D" w:rsidP="003E333D">
      <w:pPr>
        <w:spacing w:after="120" w:line="240" w:lineRule="auto"/>
        <w:rPr>
          <w:rFonts w:cs="Arial"/>
          <w:b/>
          <w:sz w:val="20"/>
          <w:szCs w:val="20"/>
        </w:rPr>
      </w:pPr>
      <w:r w:rsidRPr="004009D0">
        <w:rPr>
          <w:rFonts w:cs="Arial"/>
          <w:b/>
          <w:sz w:val="20"/>
          <w:szCs w:val="20"/>
        </w:rPr>
        <w:t>T (21%)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Nepříznivý vývoj státního rozpočtu a kapitoly MŠMT, další podfinancování VVŠ v oblasti investic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Zákon o zadávání veřejných zakázek, nemožnost operativně reagovat na měnící se podmínky během výstavby či rekonstrukce z legislativních důvodů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Pokračující diskriminace pražských VŠ v čerpání ze strukturálních fondů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Byrokratické překážky a uplatňování přepjatého formalismu v čerpání prostředků OP ESF, dlouhé schvalovací termíny, neúměrná administrativa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Obtížná udržitelnost vybudovaných kapacit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Klesající podpora investic v účelovém financování</w:t>
      </w:r>
    </w:p>
    <w:p w:rsidR="003E333D" w:rsidRPr="004009D0" w:rsidRDefault="003E333D" w:rsidP="00B15DD4">
      <w:pPr>
        <w:pStyle w:val="Odstavecseseznamem"/>
        <w:numPr>
          <w:ilvl w:val="0"/>
          <w:numId w:val="3"/>
        </w:numPr>
        <w:spacing w:after="120" w:line="240" w:lineRule="auto"/>
        <w:ind w:left="284" w:hanging="284"/>
        <w:rPr>
          <w:rFonts w:cs="Arial"/>
          <w:sz w:val="20"/>
          <w:szCs w:val="20"/>
        </w:rPr>
      </w:pPr>
      <w:r w:rsidRPr="004009D0">
        <w:rPr>
          <w:rFonts w:cs="Arial"/>
          <w:sz w:val="20"/>
          <w:szCs w:val="20"/>
        </w:rPr>
        <w:t>Zvyšování cen energií, materiálů a služeb</w:t>
      </w:r>
    </w:p>
    <w:p w:rsidR="00566689" w:rsidRPr="004009D0" w:rsidRDefault="00566689" w:rsidP="00566689">
      <w:pPr>
        <w:rPr>
          <w:rFonts w:cs="Arial"/>
        </w:rPr>
      </w:pPr>
    </w:p>
    <w:p w:rsidR="00A20802" w:rsidRPr="004009D0" w:rsidRDefault="00A20802" w:rsidP="00566689">
      <w:pPr>
        <w:jc w:val="right"/>
        <w:rPr>
          <w:rFonts w:cs="Arial"/>
        </w:rPr>
      </w:pPr>
    </w:p>
    <w:sectPr w:rsidR="00A20802" w:rsidRPr="004009D0" w:rsidSect="004159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89" w:right="1417" w:bottom="1417" w:left="1417" w:header="34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63E" w:rsidRDefault="005E563E">
      <w:r>
        <w:separator/>
      </w:r>
    </w:p>
  </w:endnote>
  <w:endnote w:type="continuationSeparator" w:id="0">
    <w:p w:rsidR="005E563E" w:rsidRDefault="005E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E21A55">
    <w:pPr>
      <w:pStyle w:val="Zpat"/>
      <w:ind w:right="360" w:hanging="1417"/>
      <w:jc w:val="center"/>
      <w:rPr>
        <w:rFonts w:ascii="Arial Narrow" w:hAnsi="Arial Narrow"/>
        <w:color w:val="5F5F5F"/>
        <w:sz w:val="16"/>
      </w:rPr>
    </w:pP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78720" behindDoc="1" locked="0" layoutInCell="1" allowOverlap="1" wp14:anchorId="5E37378C" wp14:editId="075AE535">
          <wp:simplePos x="0" y="0"/>
          <wp:positionH relativeFrom="margin">
            <wp:posOffset>1503680</wp:posOffset>
          </wp:positionH>
          <wp:positionV relativeFrom="paragraph">
            <wp:posOffset>188595</wp:posOffset>
          </wp:positionV>
          <wp:extent cx="2657475" cy="586105"/>
          <wp:effectExtent l="0" t="0" r="9525" b="4445"/>
          <wp:wrapNone/>
          <wp:docPr id="6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7475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5F5F5F"/>
        <w:sz w:val="18"/>
        <w:lang w:eastAsia="cs-CZ"/>
      </w:rPr>
      <w:drawing>
        <wp:anchor distT="0" distB="0" distL="114300" distR="114300" simplePos="0" relativeHeight="251657216" behindDoc="0" locked="0" layoutInCell="1" allowOverlap="1" wp14:anchorId="11537971" wp14:editId="4A66A0E4">
          <wp:simplePos x="0" y="0"/>
          <wp:positionH relativeFrom="column">
            <wp:posOffset>-880745</wp:posOffset>
          </wp:positionH>
          <wp:positionV relativeFrom="paragraph">
            <wp:posOffset>49530</wp:posOffset>
          </wp:positionV>
          <wp:extent cx="7510780" cy="161290"/>
          <wp:effectExtent l="0" t="0" r="0" b="0"/>
          <wp:wrapNone/>
          <wp:docPr id="5" name="obrázek 3" descr="kuličky do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uličky do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510780" cy="161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C460C" w:rsidRDefault="000B4FFC">
    <w:pPr>
      <w:pStyle w:val="Zpat"/>
      <w:framePr w:wrap="notBeside" w:vAnchor="page" w:hAnchor="page" w:x="11137" w:y="16047"/>
      <w:rPr>
        <w:rStyle w:val="slostrnky"/>
        <w:color w:val="5F5F5F"/>
      </w:rPr>
    </w:pPr>
    <w:r>
      <w:rPr>
        <w:rStyle w:val="slostrnky"/>
        <w:color w:val="5F5F5F"/>
      </w:rPr>
      <w:fldChar w:fldCharType="begin"/>
    </w:r>
    <w:r w:rsidR="00A20802">
      <w:rPr>
        <w:rStyle w:val="slostrnky"/>
        <w:color w:val="5F5F5F"/>
      </w:rPr>
      <w:instrText xml:space="preserve">PAGE  </w:instrText>
    </w:r>
    <w:r>
      <w:rPr>
        <w:rStyle w:val="slostrnky"/>
        <w:color w:val="5F5F5F"/>
      </w:rPr>
      <w:fldChar w:fldCharType="separate"/>
    </w:r>
    <w:r w:rsidR="00B15DD4">
      <w:rPr>
        <w:rStyle w:val="slostrnky"/>
        <w:noProof/>
        <w:color w:val="5F5F5F"/>
      </w:rPr>
      <w:t>1</w:t>
    </w:r>
    <w:r>
      <w:rPr>
        <w:rStyle w:val="slostrnky"/>
        <w:color w:val="5F5F5F"/>
      </w:rPr>
      <w:fldChar w:fldCharType="end"/>
    </w:r>
  </w:p>
  <w:p w:rsidR="009C460C" w:rsidRDefault="009C460C" w:rsidP="00566689">
    <w:pPr>
      <w:pStyle w:val="Zpat"/>
      <w:tabs>
        <w:tab w:val="left" w:pos="604"/>
        <w:tab w:val="left" w:pos="836"/>
      </w:tabs>
      <w:rPr>
        <w:color w:val="5F5F5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63E" w:rsidRDefault="005E563E">
      <w:r>
        <w:separator/>
      </w:r>
    </w:p>
  </w:footnote>
  <w:footnote w:type="continuationSeparator" w:id="0">
    <w:p w:rsidR="005E563E" w:rsidRDefault="005E5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B4FFC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A2080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C460C" w:rsidRDefault="009C460C">
    <w:pPr>
      <w:pStyle w:val="Zhlav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60C" w:rsidRDefault="00011A4B">
    <w:pPr>
      <w:pStyle w:val="Zhlav"/>
      <w:ind w:right="360"/>
      <w:jc w:val="center"/>
      <w:rPr>
        <w:rFonts w:ascii="Arial" w:hAnsi="Arial" w:cs="Arial"/>
        <w:color w:val="5F5F5F"/>
      </w:rPr>
    </w:pPr>
    <w:r>
      <w:rPr>
        <w:rFonts w:ascii="Arial" w:hAnsi="Arial" w:cs="Arial"/>
        <w:noProof/>
        <w:color w:val="5F5F5F"/>
        <w:lang w:eastAsia="cs-CZ"/>
      </w:rPr>
      <w:drawing>
        <wp:inline distT="0" distB="0" distL="0" distR="0" wp14:anchorId="5253D81E" wp14:editId="7596C9FE">
          <wp:extent cx="2047185" cy="599388"/>
          <wp:effectExtent l="19050" t="0" r="0" b="0"/>
          <wp:docPr id="4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7185" cy="5993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44A"/>
    <w:multiLevelType w:val="hybridMultilevel"/>
    <w:tmpl w:val="395C0B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84DC7"/>
    <w:multiLevelType w:val="hybridMultilevel"/>
    <w:tmpl w:val="26829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F797B"/>
    <w:multiLevelType w:val="hybridMultilevel"/>
    <w:tmpl w:val="865881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B64DD"/>
    <w:multiLevelType w:val="hybridMultilevel"/>
    <w:tmpl w:val="71C2B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49">
      <o:colormru v:ext="edit" colors="#eaeaea,#f3f3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3D"/>
    <w:rsid w:val="00011A4B"/>
    <w:rsid w:val="00040F4A"/>
    <w:rsid w:val="000B4FFC"/>
    <w:rsid w:val="000C33B9"/>
    <w:rsid w:val="001911CA"/>
    <w:rsid w:val="00193EB5"/>
    <w:rsid w:val="001B2578"/>
    <w:rsid w:val="00302637"/>
    <w:rsid w:val="0037089D"/>
    <w:rsid w:val="003E333D"/>
    <w:rsid w:val="004009D0"/>
    <w:rsid w:val="00406C07"/>
    <w:rsid w:val="004159F6"/>
    <w:rsid w:val="00466587"/>
    <w:rsid w:val="00566689"/>
    <w:rsid w:val="005E563E"/>
    <w:rsid w:val="00685C8C"/>
    <w:rsid w:val="007F6DCA"/>
    <w:rsid w:val="008F7EDA"/>
    <w:rsid w:val="009A3CE3"/>
    <w:rsid w:val="009C460C"/>
    <w:rsid w:val="00A20802"/>
    <w:rsid w:val="00AC2081"/>
    <w:rsid w:val="00B00B0A"/>
    <w:rsid w:val="00B15DD4"/>
    <w:rsid w:val="00B5358D"/>
    <w:rsid w:val="00C10870"/>
    <w:rsid w:val="00D524D6"/>
    <w:rsid w:val="00D56DF4"/>
    <w:rsid w:val="00DF5D5D"/>
    <w:rsid w:val="00E21A55"/>
    <w:rsid w:val="00E4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33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9C4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C460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9C460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9C460C"/>
    <w:rPr>
      <w:rFonts w:ascii="Arial Narrow" w:hAnsi="Arial Narrow"/>
      <w:sz w:val="18"/>
    </w:rPr>
  </w:style>
  <w:style w:type="paragraph" w:customStyle="1" w:styleId="ipntext">
    <w:name w:val="ipn text"/>
    <w:basedOn w:val="Normln"/>
    <w:rsid w:val="009C460C"/>
    <w:rPr>
      <w:rFonts w:ascii="Arial Narrow" w:hAnsi="Arial Narrow"/>
      <w:position w:val="1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2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263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E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mt_140127\KREDO\propagacni%20materialy\sablony\KREDO_&#352;ablona%20hlavi&#269;kov&#233;ho%20pap&#237;ru_zkr&#225;cen&#225;%20verze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KREDO_Šablona hlavičkového papíru_zkrácená verze</Template>
  <TotalTime>159</TotalTime>
  <Pages>11</Pages>
  <Words>4261</Words>
  <Characters>25141</Characters>
  <Application>Microsoft Office Word</Application>
  <DocSecurity>0</DocSecurity>
  <Lines>209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Vážení,</vt:lpstr>
    </vt:vector>
  </TitlesOfParts>
  <Company>MSMT</Company>
  <LinksUpToDate>false</LinksUpToDate>
  <CharactersWithSpaces>29344</CharactersWithSpaces>
  <SharedDoc>false</SharedDoc>
  <HLinks>
    <vt:vector size="24" baseType="variant">
      <vt:variant>
        <vt:i4>1048623</vt:i4>
      </vt:variant>
      <vt:variant>
        <vt:i4>1036</vt:i4>
      </vt:variant>
      <vt:variant>
        <vt:i4>1025</vt:i4>
      </vt:variant>
      <vt:variant>
        <vt:i4>1</vt:i4>
      </vt:variant>
      <vt:variant>
        <vt:lpwstr>LOGO IPN pro hl_PAP.jpg</vt:lpwstr>
      </vt:variant>
      <vt:variant>
        <vt:lpwstr/>
      </vt:variant>
      <vt:variant>
        <vt:i4>5308444</vt:i4>
      </vt:variant>
      <vt:variant>
        <vt:i4>1063</vt:i4>
      </vt:variant>
      <vt:variant>
        <vt:i4>1026</vt:i4>
      </vt:variant>
      <vt:variant>
        <vt:i4>1</vt:i4>
      </vt:variant>
      <vt:variant>
        <vt:lpwstr>..\OPVK_hor_zakladni_logolink_CB_cz.jpg</vt:lpwstr>
      </vt:variant>
      <vt:variant>
        <vt:lpwstr/>
      </vt:variant>
      <vt:variant>
        <vt:i4>29294619</vt:i4>
      </vt:variant>
      <vt:variant>
        <vt:i4>-1</vt:i4>
      </vt:variant>
      <vt:variant>
        <vt:i4>1025</vt:i4>
      </vt:variant>
      <vt:variant>
        <vt:i4>0</vt:i4>
      </vt:variant>
      <vt:variant>
        <vt:lpwstr>F:\ZAKAZKY\zedníčková\MŠMT\HLAVIČKOVÝ PAPÍR\pozadí1.jpg</vt:lpwstr>
      </vt:variant>
      <vt:variant>
        <vt:lpwstr/>
      </vt:variant>
      <vt:variant>
        <vt:i4>5243173</vt:i4>
      </vt:variant>
      <vt:variant>
        <vt:i4>-1</vt:i4>
      </vt:variant>
      <vt:variant>
        <vt:i4>2051</vt:i4>
      </vt:variant>
      <vt:variant>
        <vt:i4>1</vt:i4>
      </vt:variant>
      <vt:variant>
        <vt:lpwstr>kuličky dole.jpg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Vážení,</dc:title>
  <dc:creator>Nevěřilová Naďa</dc:creator>
  <cp:lastModifiedBy>Nevěřilová Naďa</cp:lastModifiedBy>
  <cp:revision>6</cp:revision>
  <cp:lastPrinted>2014-05-20T11:36:00Z</cp:lastPrinted>
  <dcterms:created xsi:type="dcterms:W3CDTF">2014-05-20T08:57:00Z</dcterms:created>
  <dcterms:modified xsi:type="dcterms:W3CDTF">2014-05-20T11:38:00Z</dcterms:modified>
</cp:coreProperties>
</file>